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49" w:rsidRDefault="00180964" w:rsidP="0028416E">
      <w:pPr>
        <w:pStyle w:val="Rubrik1"/>
        <w:spacing w:before="120"/>
        <w:rPr>
          <w:sz w:val="28"/>
          <w:szCs w:val="28"/>
        </w:rPr>
      </w:pPr>
      <w:r w:rsidRPr="00180964">
        <w:rPr>
          <w:noProof/>
          <w:sz w:val="24"/>
        </w:rPr>
        <w:pict>
          <v:shapetype id="_x0000_t202" coordsize="21600,21600" o:spt="202" path="m,l,21600r21600,l21600,xe">
            <v:stroke joinstyle="miter"/>
            <v:path gradientshapeok="t" o:connecttype="rect"/>
          </v:shapetype>
          <v:shape id="_x0000_s1026" type="#_x0000_t202" style="position:absolute;margin-left:269.9pt;margin-top:-1.95pt;width:163.85pt;height:31.65pt;z-index:251658240" stroked="f">
            <v:textbox>
              <w:txbxContent>
                <w:p w:rsidR="00BD1CD4" w:rsidRDefault="00BD1CD4">
                  <w:r>
                    <w:t>2010-04-15</w:t>
                  </w:r>
                </w:p>
              </w:txbxContent>
            </v:textbox>
          </v:shape>
        </w:pict>
      </w:r>
      <w:r w:rsidR="008D4FAC">
        <w:rPr>
          <w:noProof/>
          <w:sz w:val="24"/>
        </w:rPr>
        <w:drawing>
          <wp:inline distT="0" distB="0" distL="0" distR="0">
            <wp:extent cx="1261110" cy="127698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1110" cy="1276985"/>
                    </a:xfrm>
                    <a:prstGeom prst="rect">
                      <a:avLst/>
                    </a:prstGeom>
                    <a:noFill/>
                    <a:ln w="9525">
                      <a:noFill/>
                      <a:miter lim="800000"/>
                      <a:headEnd/>
                      <a:tailEnd/>
                    </a:ln>
                  </pic:spPr>
                </pic:pic>
              </a:graphicData>
            </a:graphic>
          </wp:inline>
        </w:drawing>
      </w:r>
    </w:p>
    <w:p w:rsidR="00BD1CD4" w:rsidRPr="00BD1CD4" w:rsidRDefault="00BD1CD4" w:rsidP="00BD1CD4"/>
    <w:p w:rsidR="00B93049" w:rsidRDefault="00B93049" w:rsidP="002876F2">
      <w:pPr>
        <w:pStyle w:val="Rubrik1"/>
        <w:spacing w:line="300" w:lineRule="atLeast"/>
        <w:rPr>
          <w:sz w:val="28"/>
          <w:szCs w:val="28"/>
        </w:rPr>
      </w:pPr>
    </w:p>
    <w:p w:rsidR="00382B8E" w:rsidRPr="00B93049" w:rsidRDefault="00B93049" w:rsidP="002876F2">
      <w:pPr>
        <w:pStyle w:val="Rubrik1"/>
        <w:spacing w:line="300" w:lineRule="atLeast"/>
        <w:rPr>
          <w:sz w:val="28"/>
          <w:szCs w:val="28"/>
        </w:rPr>
      </w:pPr>
      <w:r w:rsidRPr="00B93049">
        <w:rPr>
          <w:sz w:val="28"/>
          <w:szCs w:val="28"/>
        </w:rPr>
        <w:t>Se medborgarna – för bättre offentlig service (SOU 2009:92)</w:t>
      </w:r>
    </w:p>
    <w:p w:rsidR="00382B8E" w:rsidRDefault="00382B8E" w:rsidP="002876F2">
      <w:pPr>
        <w:spacing w:line="300" w:lineRule="atLeast"/>
      </w:pPr>
    </w:p>
    <w:p w:rsidR="00382B8E" w:rsidRDefault="00B93049" w:rsidP="002876F2">
      <w:pPr>
        <w:spacing w:before="120" w:line="300" w:lineRule="atLeast"/>
      </w:pPr>
      <w:r>
        <w:t>Inlandskommunerna ekonomisk förening (IEF) har beretts tillfälle att yttra sig över slutbetä</w:t>
      </w:r>
      <w:r>
        <w:t>n</w:t>
      </w:r>
      <w:r>
        <w:t>kandet Se medborgarna - för bättre offentlig service.</w:t>
      </w:r>
    </w:p>
    <w:p w:rsidR="00C50825" w:rsidRDefault="00C50825" w:rsidP="002876F2">
      <w:pPr>
        <w:spacing w:before="120" w:line="300" w:lineRule="atLeast"/>
      </w:pPr>
      <w:r>
        <w:t>Vi har valt att samverka med Hela Sverige ska leva om vårt yttrande. Våra synpunkter sa</w:t>
      </w:r>
      <w:r>
        <w:t>m</w:t>
      </w:r>
      <w:r>
        <w:t>ma</w:t>
      </w:r>
      <w:r w:rsidR="00166704">
        <w:t>nfaller till största del med dem</w:t>
      </w:r>
      <w:r>
        <w:t xml:space="preserve"> som Hela Sverige ska leva </w:t>
      </w:r>
      <w:r w:rsidR="00B93049">
        <w:t>lämnat</w:t>
      </w:r>
      <w:r>
        <w:t xml:space="preserve"> tillsammans med SKL och SmåKom.</w:t>
      </w:r>
    </w:p>
    <w:p w:rsidR="00C50825" w:rsidRDefault="00C50825" w:rsidP="002876F2">
      <w:pPr>
        <w:spacing w:before="120" w:line="300" w:lineRule="atLeast"/>
      </w:pPr>
      <w:r>
        <w:t>Inledningsvis vill vi peka på den dramatiskt negativa utveckling som skett i norra Inlandet när det gäller den offentliga servicen de senaste decennierna. Servicen har tunnats ut i snabb takt och i sådan omfattning att viktiga samhällfunktioner hot</w:t>
      </w:r>
      <w:r w:rsidR="00B93049">
        <w:t>as.</w:t>
      </w:r>
    </w:p>
    <w:p w:rsidR="0028416E" w:rsidRDefault="0028416E" w:rsidP="002876F2">
      <w:pPr>
        <w:spacing w:before="120" w:line="300" w:lineRule="atLeast"/>
      </w:pPr>
    </w:p>
    <w:p w:rsidR="00D00CD3" w:rsidRPr="00BD1CD4" w:rsidRDefault="00D00CD3" w:rsidP="002876F2">
      <w:pPr>
        <w:numPr>
          <w:ilvl w:val="0"/>
          <w:numId w:val="3"/>
        </w:numPr>
        <w:spacing w:before="120" w:line="300" w:lineRule="atLeast"/>
        <w:ind w:left="426"/>
        <w:rPr>
          <w:b/>
          <w:bCs/>
        </w:rPr>
      </w:pPr>
      <w:r w:rsidRPr="00BD1CD4">
        <w:rPr>
          <w:b/>
          <w:bCs/>
        </w:rPr>
        <w:t>Den offentliga servicen bör bli helt medborgarstyrd</w:t>
      </w:r>
    </w:p>
    <w:p w:rsidR="00D00CD3" w:rsidRDefault="00D00CD3" w:rsidP="002876F2">
      <w:pPr>
        <w:spacing w:before="120" w:line="300" w:lineRule="atLeast"/>
      </w:pPr>
      <w:r>
        <w:t>Statliga myndigheter har</w:t>
      </w:r>
      <w:r w:rsidR="00C50825">
        <w:t xml:space="preserve"> i Sverige av tradition och via</w:t>
      </w:r>
      <w:r>
        <w:t xml:space="preserve"> en mycket självständig roll när det gäller att utforma olika servicelösningar av betydelse för medborgarna och dess företag. Vi ifrågasätter inte självständigheten som princip, men i lägen där medborgarkraven kolliderar med myndigheternas egna beslut och lösningar</w:t>
      </w:r>
      <w:r w:rsidRPr="00BD0B6A">
        <w:t xml:space="preserve"> </w:t>
      </w:r>
      <w:r>
        <w:t xml:space="preserve">måste medborgarkraven ges företräde. Målet med </w:t>
      </w:r>
      <w:r w:rsidR="00166704">
        <w:t>den statliga service</w:t>
      </w:r>
      <w:r>
        <w:t xml:space="preserve"> är att tjäna medborgarna och dess olika servicebehov</w:t>
      </w:r>
      <w:r w:rsidRPr="00D00CD3">
        <w:t>.</w:t>
      </w:r>
      <w:r w:rsidRPr="00D00CD3">
        <w:rPr>
          <w:sz w:val="20"/>
          <w:szCs w:val="20"/>
        </w:rPr>
        <w:t xml:space="preserve"> </w:t>
      </w:r>
      <w:r w:rsidRPr="00D00CD3">
        <w:t>Administrativa prioriteringar får aldrig sättas före människors behov av en väl fungerande service.</w:t>
      </w:r>
    </w:p>
    <w:p w:rsidR="0047479E" w:rsidRDefault="00D00CD3" w:rsidP="002876F2">
      <w:pPr>
        <w:spacing w:before="120" w:line="300" w:lineRule="atLeast"/>
      </w:pPr>
      <w:r>
        <w:t>Regeringen kan via sina regleringsbrev och ägardirektiv utöva ett väsentligt inflytande över de statliga servicegivarna. Vi är övertygade om att denna möjlighet måste användas mer fr</w:t>
      </w:r>
      <w:r>
        <w:t>e</w:t>
      </w:r>
      <w:r>
        <w:t>kvent och regelmässigt. Ser</w:t>
      </w:r>
      <w:r w:rsidR="0047479E">
        <w:t>vicen måste hela tiden anpassas t</w:t>
      </w:r>
      <w:r>
        <w:t>ill medborgarnas och småföret</w:t>
      </w:r>
      <w:r>
        <w:t>a</w:t>
      </w:r>
      <w:r>
        <w:t xml:space="preserve">gens ständigt förnyade och förändrade behov. </w:t>
      </w:r>
    </w:p>
    <w:p w:rsidR="00382B8E" w:rsidRDefault="00D00CD3" w:rsidP="002876F2">
      <w:pPr>
        <w:spacing w:before="120" w:line="300" w:lineRule="atLeast"/>
      </w:pPr>
      <w:r>
        <w:t>Styrningen av den statligt finansierade servicen och dess utformning och effekter har även stor betydelse för annan service som erbjuds av exempelvis kommuner och privata entrepr</w:t>
      </w:r>
      <w:r>
        <w:t>e</w:t>
      </w:r>
      <w:r>
        <w:t>nörer. Därför har den statliga servicens tillgänglighet och funktion ofta en avgörande roll för det totala serviceutbudet i en ort eller kommun.</w:t>
      </w:r>
      <w:r w:rsidR="00C50825">
        <w:t xml:space="preserve"> Det är av största vikt att statliga myndigheter åläggs att ha </w:t>
      </w:r>
      <w:r w:rsidR="00FB52DD">
        <w:t>likvärdiga resurser över hela landet.</w:t>
      </w:r>
    </w:p>
    <w:p w:rsidR="002876F2" w:rsidRDefault="002876F2" w:rsidP="002876F2">
      <w:pPr>
        <w:spacing w:before="120" w:line="300" w:lineRule="atLeast"/>
      </w:pPr>
    </w:p>
    <w:p w:rsidR="0047479E" w:rsidRPr="00BD1CD4" w:rsidRDefault="00382B8E" w:rsidP="002876F2">
      <w:pPr>
        <w:numPr>
          <w:ilvl w:val="0"/>
          <w:numId w:val="3"/>
        </w:numPr>
        <w:spacing w:before="120" w:line="300" w:lineRule="atLeast"/>
        <w:ind w:left="426"/>
        <w:rPr>
          <w:b/>
          <w:bCs/>
        </w:rPr>
      </w:pPr>
      <w:r w:rsidRPr="00BD1CD4">
        <w:rPr>
          <w:b/>
          <w:bCs/>
        </w:rPr>
        <w:t>Minst ett servicecentrum i var</w:t>
      </w:r>
      <w:r w:rsidR="00166704">
        <w:rPr>
          <w:b/>
          <w:bCs/>
        </w:rPr>
        <w:t>je</w:t>
      </w:r>
      <w:r w:rsidRPr="00BD1CD4">
        <w:rPr>
          <w:b/>
          <w:bCs/>
        </w:rPr>
        <w:t xml:space="preserve"> kommun</w:t>
      </w:r>
    </w:p>
    <w:p w:rsidR="00382B8E" w:rsidRDefault="00FB52DD" w:rsidP="002876F2">
      <w:pPr>
        <w:spacing w:before="120" w:line="300" w:lineRule="atLeast"/>
      </w:pPr>
      <w:r>
        <w:t>Vi tillstyrker u</w:t>
      </w:r>
      <w:r w:rsidR="00382B8E">
        <w:t>tredningen</w:t>
      </w:r>
      <w:r>
        <w:t>s förslag</w:t>
      </w:r>
      <w:r w:rsidR="00382B8E">
        <w:t xml:space="preserve"> att det i varje kommun inrättas minst ett </w:t>
      </w:r>
      <w:r w:rsidR="00382B8E" w:rsidRPr="00166704">
        <w:rPr>
          <w:bCs/>
        </w:rPr>
        <w:t>servicecentrum</w:t>
      </w:r>
      <w:r w:rsidR="00382B8E">
        <w:rPr>
          <w:b/>
          <w:bCs/>
          <w:i/>
          <w:iCs/>
        </w:rPr>
        <w:t xml:space="preserve"> </w:t>
      </w:r>
      <w:r w:rsidR="00382B8E">
        <w:t>där staten ska vara företrädd med egen personal</w:t>
      </w:r>
      <w:r w:rsidR="00D60028">
        <w:t>,</w:t>
      </w:r>
      <w:r w:rsidR="00382B8E">
        <w:t xml:space="preserve"> varav minst en person från Arbetsförmedlingen. I </w:t>
      </w:r>
      <w:r w:rsidR="00D60028">
        <w:t>sådana centra</w:t>
      </w:r>
      <w:r w:rsidR="00382B8E">
        <w:t xml:space="preserve"> kan flera olika statliga servicegivare med relativt stor publik</w:t>
      </w:r>
      <w:r w:rsidR="00500D54">
        <w:t xml:space="preserve"> </w:t>
      </w:r>
      <w:r w:rsidR="00382B8E">
        <w:t>kontakt rymmas som exempelvis utöver Af, Försäkringskassan, Polisen, Skatteverket och Migrationsverket.</w:t>
      </w:r>
    </w:p>
    <w:p w:rsidR="00382B8E" w:rsidRDefault="00500D54" w:rsidP="002876F2">
      <w:pPr>
        <w:spacing w:before="120" w:line="300" w:lineRule="atLeast"/>
      </w:pPr>
      <w:r>
        <w:lastRenderedPageBreak/>
        <w:t>Där</w:t>
      </w:r>
      <w:r w:rsidR="00382B8E">
        <w:t xml:space="preserve"> kan med fördel kommun och landsting finnas företrädda men också privata och ide</w:t>
      </w:r>
      <w:r w:rsidR="00FB52DD">
        <w:t>ella servicegivare som banke</w:t>
      </w:r>
      <w:r w:rsidR="00382B8E">
        <w:t>r, försäkringsbolag, och lokala organisationer. Inom den offentliga sfären kan samservicetjänster etableras med hjälp av specialutbildade medarbetare och gemensam IT-bas, vilket möjliggör att flera myndigheter kan företrädas av en gemensam pe</w:t>
      </w:r>
      <w:r w:rsidR="00382B8E">
        <w:t>r</w:t>
      </w:r>
      <w:r w:rsidR="00382B8E">
        <w:t>son eller grupp. Tjänster som inte kan tillgodoses på serviceanläggningen ska förmedlas till andra myndigheter, delvis via IT-baserad distansteknik.</w:t>
      </w:r>
    </w:p>
    <w:p w:rsidR="00382B8E" w:rsidRDefault="00382B8E" w:rsidP="002876F2">
      <w:pPr>
        <w:spacing w:before="120" w:line="300" w:lineRule="atLeast"/>
      </w:pPr>
      <w:r>
        <w:t xml:space="preserve">Vi ser </w:t>
      </w:r>
      <w:r w:rsidR="00D60028">
        <w:t>sådana</w:t>
      </w:r>
      <w:r w:rsidR="00D00CD3">
        <w:t xml:space="preserve"> </w:t>
      </w:r>
      <w:r>
        <w:t>lokala och välintegrerade servicekontor, som kan varieras i sitt tjänsteutbud efter befolkningsunderlag och lokala önskemål, som en direkt förutsättning för medborgarnas möjlighet att oavsett bostadsort få tillgång till de välfärdstjänster som tillkommer hela befol</w:t>
      </w:r>
      <w:r>
        <w:t>k</w:t>
      </w:r>
      <w:r>
        <w:t>ningen. Vi ser också servicekontore</w:t>
      </w:r>
      <w:r w:rsidR="00D60028">
        <w:t>n</w:t>
      </w:r>
      <w:r>
        <w:t xml:space="preserve"> som en viktig bas för annan offentlig, kommersiell och ideell service och en markering av att grundläggande s</w:t>
      </w:r>
      <w:r w:rsidR="00B66F05">
        <w:t>ervice ska</w:t>
      </w:r>
      <w:r>
        <w:t xml:space="preserve"> finnas i hela landet.</w:t>
      </w:r>
    </w:p>
    <w:p w:rsidR="002876F2" w:rsidRDefault="002876F2" w:rsidP="002876F2">
      <w:pPr>
        <w:spacing w:before="120" w:line="300" w:lineRule="atLeast"/>
      </w:pPr>
    </w:p>
    <w:p w:rsidR="0047479E" w:rsidRPr="00BD1CD4" w:rsidRDefault="00382B8E" w:rsidP="002876F2">
      <w:pPr>
        <w:numPr>
          <w:ilvl w:val="0"/>
          <w:numId w:val="3"/>
        </w:numPr>
        <w:spacing w:before="120" w:line="300" w:lineRule="atLeast"/>
        <w:ind w:left="426"/>
        <w:rPr>
          <w:b/>
          <w:bCs/>
        </w:rPr>
      </w:pPr>
      <w:r w:rsidRPr="00BD1CD4">
        <w:rPr>
          <w:b/>
          <w:bCs/>
        </w:rPr>
        <w:t>Kompletterande servicepunkter uppväger små orters utsatthet</w:t>
      </w:r>
    </w:p>
    <w:p w:rsidR="00876A72" w:rsidRDefault="00B66F05" w:rsidP="002876F2">
      <w:pPr>
        <w:spacing w:before="120" w:line="300" w:lineRule="atLeast"/>
      </w:pPr>
      <w:r>
        <w:t>Vi tillstyrker alltså förslaget att</w:t>
      </w:r>
      <w:r w:rsidR="00382B8E">
        <w:t xml:space="preserve"> inrätta </w:t>
      </w:r>
      <w:r w:rsidR="00382B8E" w:rsidRPr="00166704">
        <w:rPr>
          <w:bCs/>
        </w:rPr>
        <w:t>servicepunkter</w:t>
      </w:r>
      <w:r w:rsidR="00382B8E">
        <w:t xml:space="preserve"> i en eller flera mindre orter i samtliga kommuner. Där kan kommunerna själva fatta beslut om att vid exempelvis ett lokalt bibliotek, en samlingslokal eller en lokal livsmedelshandel installera utrustning för interaktiv TV, tel</w:t>
      </w:r>
      <w:r w:rsidR="00382B8E">
        <w:t>e</w:t>
      </w:r>
      <w:r w:rsidR="00382B8E">
        <w:t xml:space="preserve">foni och datorkontakt i syfte att ge de boende och verksamma i glesa miljöer direktkontakt med lokala, regionala och centrala myndigheter. </w:t>
      </w:r>
    </w:p>
    <w:p w:rsidR="00382B8E" w:rsidRDefault="00382B8E" w:rsidP="002876F2">
      <w:pPr>
        <w:spacing w:before="120" w:line="300" w:lineRule="atLeast"/>
      </w:pPr>
      <w:r>
        <w:t>Vi ser det som självklart att även privata och ideella aktörer ska kunna aktualisera en sådan lösning som förslag till de offentliga serviceproducente</w:t>
      </w:r>
      <w:r w:rsidR="00B66F05">
        <w:t xml:space="preserve">rna. En person som tjänstgör i </w:t>
      </w:r>
      <w:r>
        <w:t>denna service</w:t>
      </w:r>
      <w:r w:rsidR="00B66F05">
        <w:t>punkt</w:t>
      </w:r>
      <w:r>
        <w:t xml:space="preserve"> ska finnas till hands för att hjälpa till med att använda utrustningen.</w:t>
      </w:r>
    </w:p>
    <w:p w:rsidR="0047479E" w:rsidRDefault="00382B8E" w:rsidP="002876F2">
      <w:pPr>
        <w:pStyle w:val="SKLText"/>
        <w:spacing w:before="120"/>
      </w:pPr>
      <w:r>
        <w:t>Vi stöder förslagen om att nya lokala organisationer och utförare ska ges utrymme i den lok</w:t>
      </w:r>
      <w:r>
        <w:t>a</w:t>
      </w:r>
      <w:r>
        <w:t xml:space="preserve">la serviceförsörjningen och att kommunerna ska uppmuntra och teckna långsiktiga avtal med organisationer som utför service. Här kan kooperativ, lokala utvecklingsgrupper och övriga föreningar spela en stor roll. Utredaren ger flera exempel på bygder där det fungerar bra idag. Vi stöder också förslagen om medborgarnas deltagande i </w:t>
      </w:r>
      <w:r w:rsidR="00500D54">
        <w:t xml:space="preserve">att </w:t>
      </w:r>
      <w:r>
        <w:t>forma</w:t>
      </w:r>
      <w:r w:rsidR="00D00CD3">
        <w:t xml:space="preserve"> </w:t>
      </w:r>
      <w:r>
        <w:t>servicen, som exempelvis kan ske inom ramen för lokala områdesstyrelser. Sådana direktvalda styrelser prövas redan på flera håll och vi välkomnar och är beredda att stödja nya initiativ.</w:t>
      </w:r>
    </w:p>
    <w:p w:rsidR="00D00CD3" w:rsidRDefault="006968BF" w:rsidP="002876F2">
      <w:pPr>
        <w:pStyle w:val="SKLText"/>
        <w:spacing w:before="120" w:after="0"/>
      </w:pPr>
      <w:r>
        <w:t>P</w:t>
      </w:r>
      <w:r w:rsidR="00382B8E">
        <w:t xml:space="preserve">å samma sätt som vi förordar en utbyggnad av servicecentra och servicepunkter </w:t>
      </w:r>
      <w:r>
        <w:t xml:space="preserve">är vi </w:t>
      </w:r>
      <w:r w:rsidR="00382B8E">
        <w:t>posit</w:t>
      </w:r>
      <w:r w:rsidR="00382B8E">
        <w:t>i</w:t>
      </w:r>
      <w:r w:rsidR="00382B8E">
        <w:t>va till att främja mobila ”servicepunkter” att användas regelbundet via lantbrevbär</w:t>
      </w:r>
      <w:r>
        <w:t>ingen</w:t>
      </w:r>
      <w:r w:rsidR="00D00CD3">
        <w:t xml:space="preserve"> </w:t>
      </w:r>
      <w:r w:rsidR="00382B8E">
        <w:t>i o</w:t>
      </w:r>
      <w:r w:rsidR="00382B8E">
        <w:t>m</w:t>
      </w:r>
      <w:r w:rsidR="00382B8E">
        <w:t>råden med sådan service</w:t>
      </w:r>
      <w:r>
        <w:t xml:space="preserve">. </w:t>
      </w:r>
      <w:r w:rsidR="00876A72">
        <w:t xml:space="preserve">En samordnad mobil </w:t>
      </w:r>
      <w:r>
        <w:t>service</w:t>
      </w:r>
      <w:r w:rsidR="00876A72">
        <w:t xml:space="preserve"> är också intressant</w:t>
      </w:r>
      <w:r w:rsidR="00D00CD3">
        <w:t xml:space="preserve"> </w:t>
      </w:r>
      <w:r w:rsidR="00382B8E">
        <w:t>i samband med att befolkningen i ett område väsentligt ökar i antal under en längre period</w:t>
      </w:r>
      <w:r w:rsidR="00876A72">
        <w:t>, särskilt i</w:t>
      </w:r>
      <w:r w:rsidR="00D00CD3">
        <w:t xml:space="preserve"> </w:t>
      </w:r>
      <w:r w:rsidR="00382B8E">
        <w:t xml:space="preserve">sommar- och vintersemesterorter i </w:t>
      </w:r>
      <w:r w:rsidR="00B66F05">
        <w:t>bla</w:t>
      </w:r>
      <w:r w:rsidR="00382B8E">
        <w:t xml:space="preserve"> fjällregionerna. Vi föreslår </w:t>
      </w:r>
      <w:r w:rsidR="00876A72">
        <w:t xml:space="preserve">samtidigt </w:t>
      </w:r>
      <w:r w:rsidR="00382B8E">
        <w:t>att lantbrevbärartjänsten utvecklas både ifråga om kapacitet och kvalitet. Det ska ske i samråd med användargrupperna och de lokala servicestyrelser</w:t>
      </w:r>
      <w:r w:rsidR="00876A72">
        <w:t>, som utredningen föreslår ska etableras</w:t>
      </w:r>
      <w:r w:rsidR="00382B8E">
        <w:t>.</w:t>
      </w:r>
    </w:p>
    <w:p w:rsidR="00382B8E" w:rsidRDefault="00382B8E" w:rsidP="002876F2">
      <w:pPr>
        <w:spacing w:before="120" w:line="300" w:lineRule="atLeast"/>
      </w:pPr>
      <w:r>
        <w:t xml:space="preserve">I likhet med vad som bör gälla för ett servicecentrum krävs långsiktiga avtal för servicens kvalitet och varaktighet </w:t>
      </w:r>
      <w:r w:rsidR="006B3485">
        <w:t xml:space="preserve">och även för personalens kompetensutveckling. Dessutom krävs </w:t>
      </w:r>
      <w:r>
        <w:t xml:space="preserve">en rättvis </w:t>
      </w:r>
      <w:r w:rsidR="006B3485">
        <w:t xml:space="preserve">och noga preciserad </w:t>
      </w:r>
      <w:r>
        <w:t xml:space="preserve">kostnadsfördelning mellan staten och kommunerna. </w:t>
      </w:r>
      <w:r w:rsidR="00B66F05">
        <w:t>Vi ser stora fördelar med att ha en lokalt förankrad styrelse för samtliga serviceanläggningar av föreslagen typ, där kommunen utser styrelsens ordförande. Den ska bestå av företrädare för alla delt</w:t>
      </w:r>
      <w:r w:rsidR="00B66F05">
        <w:t>a</w:t>
      </w:r>
      <w:r w:rsidR="00B66F05">
        <w:t>gande aktörer i den gemensamma serviceproduktionen</w:t>
      </w:r>
      <w:r w:rsidR="00B66F05" w:rsidRPr="006B3485">
        <w:t xml:space="preserve"> </w:t>
      </w:r>
      <w:r w:rsidR="00B66F05">
        <w:t>och ha en egen budget.</w:t>
      </w:r>
    </w:p>
    <w:p w:rsidR="00382B8E" w:rsidRDefault="007803D3" w:rsidP="002876F2">
      <w:pPr>
        <w:spacing w:before="120" w:line="300" w:lineRule="atLeast"/>
      </w:pPr>
      <w:r>
        <w:br w:type="page"/>
      </w:r>
    </w:p>
    <w:p w:rsidR="00382B8E" w:rsidRPr="00BD1CD4" w:rsidRDefault="00382B8E" w:rsidP="002876F2">
      <w:pPr>
        <w:numPr>
          <w:ilvl w:val="0"/>
          <w:numId w:val="3"/>
        </w:numPr>
        <w:spacing w:before="120" w:line="300" w:lineRule="atLeast"/>
        <w:ind w:left="426"/>
        <w:rPr>
          <w:b/>
          <w:bCs/>
        </w:rPr>
      </w:pPr>
      <w:r w:rsidRPr="00BD1CD4">
        <w:rPr>
          <w:b/>
          <w:bCs/>
        </w:rPr>
        <w:lastRenderedPageBreak/>
        <w:t>Bredband med hög kapacitet förutsättning för väl fungerande service</w:t>
      </w:r>
    </w:p>
    <w:p w:rsidR="00E31BFF" w:rsidRDefault="00382B8E" w:rsidP="002876F2">
      <w:pPr>
        <w:spacing w:before="120" w:line="300" w:lineRule="atLeast"/>
      </w:pPr>
      <w:r>
        <w:t>Utbyggnaden av bredband – kalla det gärna en ”elektronisk motorväg” med relativt hög öve</w:t>
      </w:r>
      <w:r>
        <w:t>r</w:t>
      </w:r>
      <w:r>
        <w:t>föringshastighet och kapacitet – är en viktig förutsättning för att de servicelösningar som för</w:t>
      </w:r>
      <w:r>
        <w:t>e</w:t>
      </w:r>
      <w:r>
        <w:t xml:space="preserve">slås ska kunna fungera, för </w:t>
      </w:r>
      <w:r w:rsidR="00E31BFF">
        <w:t xml:space="preserve">såväl </w:t>
      </w:r>
      <w:r>
        <w:t xml:space="preserve">medborgarna </w:t>
      </w:r>
      <w:r w:rsidR="00E31BFF">
        <w:t>som</w:t>
      </w:r>
      <w:r>
        <w:t xml:space="preserve"> producenterna av olika servicetjänster. </w:t>
      </w:r>
    </w:p>
    <w:p w:rsidR="00382B8E" w:rsidRDefault="00382B8E" w:rsidP="002876F2">
      <w:pPr>
        <w:spacing w:before="120" w:line="300" w:lineRule="atLeast"/>
      </w:pPr>
      <w:r>
        <w:t xml:space="preserve">Vi vill kraftfullt understryka att en väl utbyggd bredbandsstruktur i hela landet </w:t>
      </w:r>
      <w:r w:rsidR="00902FC6">
        <w:t>är</w:t>
      </w:r>
      <w:r>
        <w:t xml:space="preserve"> ett direkt villkor för att servicecentra och servicepunkter ska kunna användas som en förstärkning av landsbygdens serviceutbud. </w:t>
      </w:r>
      <w:r w:rsidR="006C753D">
        <w:t>PTS har i sin senaste årsrapport visat att det finns stora kvarst</w:t>
      </w:r>
      <w:r w:rsidR="006C753D">
        <w:t>å</w:t>
      </w:r>
      <w:r w:rsidR="006C753D">
        <w:t xml:space="preserve">ende investeringsbehov som behöver tillgodoses </w:t>
      </w:r>
      <w:r w:rsidR="002876F2">
        <w:t>för att bredbandsstrukturen ska</w:t>
      </w:r>
      <w:r w:rsidR="006C753D">
        <w:t xml:space="preserve"> motsvara rimlig kvalitet och kapacitet på särskilt landsbygden.</w:t>
      </w:r>
    </w:p>
    <w:p w:rsidR="00382B8E" w:rsidRDefault="00902FC6" w:rsidP="002876F2">
      <w:pPr>
        <w:spacing w:before="120" w:line="300" w:lineRule="atLeast"/>
      </w:pPr>
      <w:r>
        <w:t>B</w:t>
      </w:r>
      <w:r w:rsidR="00382B8E">
        <w:t xml:space="preserve">redbandsstrukturen </w:t>
      </w:r>
      <w:r>
        <w:t xml:space="preserve">behöver </w:t>
      </w:r>
      <w:r w:rsidR="00382B8E">
        <w:t xml:space="preserve">snabbt ses över i syfte att erbjuda hela befolkningen bredband med minst 100Mbit/s så snart som möjligt och helst inte senare än 2015. </w:t>
      </w:r>
      <w:r>
        <w:t>U</w:t>
      </w:r>
      <w:r w:rsidR="00382B8E">
        <w:t xml:space="preserve">tbyggnaden av IT-strukturens kvalitet och kapacitet </w:t>
      </w:r>
      <w:r>
        <w:t xml:space="preserve">bör </w:t>
      </w:r>
      <w:r w:rsidR="00382B8E">
        <w:t>prioriteras i områden med låg kapacitet eller obefintlig</w:t>
      </w:r>
      <w:r>
        <w:t>a</w:t>
      </w:r>
      <w:r w:rsidR="00382B8E">
        <w:t xml:space="preserve"> bredbandssystem. De digitala regionala klyftorna får inte öka utan bör kraftigt minskas under de närmaste åren. I annat fall försäm</w:t>
      </w:r>
      <w:r w:rsidR="006C753D">
        <w:t>ras glesbygdens</w:t>
      </w:r>
      <w:r w:rsidR="00382B8E">
        <w:t xml:space="preserve"> generella konkurrensförhållanden och attraktivitet.</w:t>
      </w:r>
      <w:r w:rsidR="006C753D">
        <w:t xml:space="preserve"> Staten har ansvaret, även det finansiella, för att en sådan bredbandsstruktur byggs ut</w:t>
      </w:r>
      <w:r w:rsidR="005E6545">
        <w:t>.</w:t>
      </w:r>
    </w:p>
    <w:p w:rsidR="0047479E" w:rsidRPr="00BD1CD4" w:rsidRDefault="00382B8E" w:rsidP="002876F2">
      <w:pPr>
        <w:numPr>
          <w:ilvl w:val="0"/>
          <w:numId w:val="3"/>
        </w:numPr>
        <w:spacing w:before="120" w:line="300" w:lineRule="atLeast"/>
        <w:ind w:left="426"/>
        <w:rPr>
          <w:b/>
          <w:bCs/>
        </w:rPr>
      </w:pPr>
      <w:r w:rsidRPr="00BD1CD4">
        <w:rPr>
          <w:b/>
          <w:bCs/>
        </w:rPr>
        <w:t>Centralt styrorgan bör ge starkt folkligt inflytande</w:t>
      </w:r>
    </w:p>
    <w:p w:rsidR="00382B8E" w:rsidRDefault="006C753D" w:rsidP="002876F2">
      <w:pPr>
        <w:spacing w:before="120" w:line="300" w:lineRule="atLeast"/>
      </w:pPr>
      <w:r>
        <w:t xml:space="preserve">Vi stödjer </w:t>
      </w:r>
      <w:r w:rsidR="00382B8E">
        <w:t>utredning</w:t>
      </w:r>
      <w:r w:rsidR="00902FC6">
        <w:t>en</w:t>
      </w:r>
      <w:r>
        <w:t>s</w:t>
      </w:r>
      <w:r w:rsidR="00382B8E">
        <w:t xml:space="preserve"> förslag om </w:t>
      </w:r>
      <w:r>
        <w:t xml:space="preserve">att inrätta </w:t>
      </w:r>
      <w:r w:rsidR="00382B8E">
        <w:t>en samverkansdelegation</w:t>
      </w:r>
      <w:r w:rsidR="00BD0B6A">
        <w:t xml:space="preserve"> som ska</w:t>
      </w:r>
      <w:r w:rsidR="00D00CD3">
        <w:t xml:space="preserve"> </w:t>
      </w:r>
      <w:r w:rsidR="00382B8E">
        <w:t>hantera sa</w:t>
      </w:r>
      <w:r w:rsidR="00382B8E">
        <w:t>m</w:t>
      </w:r>
      <w:r w:rsidR="00382B8E">
        <w:t>ordningen av offentlig och kommersiell service</w:t>
      </w:r>
      <w:r w:rsidR="00BD0B6A">
        <w:t>.</w:t>
      </w:r>
      <w:r w:rsidR="00BD0B6A" w:rsidRPr="00BD0B6A">
        <w:t xml:space="preserve"> </w:t>
      </w:r>
      <w:r>
        <w:t>Där ges f</w:t>
      </w:r>
      <w:r w:rsidR="00BD0B6A">
        <w:t>öreträdare för departem</w:t>
      </w:r>
      <w:r>
        <w:t>ent och sta</w:t>
      </w:r>
      <w:r>
        <w:t>t</w:t>
      </w:r>
      <w:r>
        <w:t>liga myndigheter</w:t>
      </w:r>
      <w:r w:rsidR="00BD0B6A">
        <w:t xml:space="preserve"> tillsammans med representanter för kommuner, ideella och privata servic</w:t>
      </w:r>
      <w:r w:rsidR="00BD0B6A">
        <w:t>e</w:t>
      </w:r>
      <w:r w:rsidR="00BD0B6A">
        <w:t>producenter möjligheter att fungera som en stödjande, utvecklande och kvalitetsstimulerande central plattform.</w:t>
      </w:r>
      <w:r w:rsidR="00382B8E">
        <w:t xml:space="preserve"> </w:t>
      </w:r>
      <w:r w:rsidR="00BD0B6A">
        <w:t xml:space="preserve">En sådan delegation </w:t>
      </w:r>
      <w:r w:rsidR="00382B8E">
        <w:t>bör också ha inflytande över regeringens olika styri</w:t>
      </w:r>
      <w:r w:rsidR="00382B8E">
        <w:t>n</w:t>
      </w:r>
      <w:r w:rsidR="00382B8E">
        <w:t>strument för att garantera att servicen</w:t>
      </w:r>
      <w:r w:rsidR="00BD0B6A">
        <w:t xml:space="preserve">, särskilt på landsbygden, </w:t>
      </w:r>
      <w:r w:rsidR="00382B8E">
        <w:t>hela tiden kan utvecklas till en mycket väl fungerande och lokalt anpassad medborgar- och företagsservice.</w:t>
      </w:r>
    </w:p>
    <w:p w:rsidR="00382B8E" w:rsidRDefault="00382B8E" w:rsidP="002876F2">
      <w:pPr>
        <w:spacing w:before="120" w:line="300" w:lineRule="atLeast"/>
      </w:pPr>
    </w:p>
    <w:p w:rsidR="00382B8E" w:rsidRDefault="00382B8E" w:rsidP="002876F2">
      <w:pPr>
        <w:spacing w:before="120"/>
        <w:jc w:val="both"/>
      </w:pPr>
    </w:p>
    <w:p w:rsidR="00382B8E" w:rsidRDefault="006C753D" w:rsidP="006C753D">
      <w:pPr>
        <w:spacing w:before="120"/>
      </w:pPr>
      <w:r>
        <w:t>Med vänlig hälsning</w:t>
      </w:r>
    </w:p>
    <w:p w:rsidR="006C753D" w:rsidRDefault="006C753D" w:rsidP="006C753D">
      <w:pPr>
        <w:spacing w:before="120"/>
      </w:pPr>
    </w:p>
    <w:p w:rsidR="006C753D" w:rsidRDefault="006C753D" w:rsidP="006C753D">
      <w:pPr>
        <w:spacing w:before="120"/>
      </w:pPr>
      <w:r>
        <w:t>Ulf Björklund</w:t>
      </w:r>
      <w:r>
        <w:br/>
        <w:t>ordförande</w:t>
      </w:r>
      <w:r>
        <w:tab/>
      </w:r>
      <w:r>
        <w:tab/>
      </w:r>
      <w:r>
        <w:tab/>
      </w:r>
      <w:r>
        <w:br/>
      </w:r>
      <w:r>
        <w:tab/>
      </w:r>
      <w:r>
        <w:tab/>
      </w:r>
      <w:r>
        <w:tab/>
      </w:r>
    </w:p>
    <w:sectPr w:rsidR="006C753D" w:rsidSect="007803D3">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07" w:rsidRDefault="00913807" w:rsidP="00B66F05">
      <w:r>
        <w:separator/>
      </w:r>
    </w:p>
  </w:endnote>
  <w:endnote w:type="continuationSeparator" w:id="0">
    <w:p w:rsidR="00913807" w:rsidRDefault="00913807" w:rsidP="00B66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07" w:rsidRDefault="00913807" w:rsidP="00B66F05">
      <w:r>
        <w:separator/>
      </w:r>
    </w:p>
  </w:footnote>
  <w:footnote w:type="continuationSeparator" w:id="0">
    <w:p w:rsidR="00913807" w:rsidRDefault="00913807" w:rsidP="00B66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4A50"/>
    <w:multiLevelType w:val="hybridMultilevel"/>
    <w:tmpl w:val="CE8A25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EB31A5"/>
    <w:multiLevelType w:val="hybridMultilevel"/>
    <w:tmpl w:val="557609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B2B068B"/>
    <w:multiLevelType w:val="hybridMultilevel"/>
    <w:tmpl w:val="84809B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1304"/>
  <w:autoHyphenation/>
  <w:hyphenationZone w:val="425"/>
  <w:characterSpacingControl w:val="doNotCompress"/>
  <w:footnotePr>
    <w:footnote w:id="-1"/>
    <w:footnote w:id="0"/>
  </w:footnotePr>
  <w:endnotePr>
    <w:endnote w:id="-1"/>
    <w:endnote w:id="0"/>
  </w:endnotePr>
  <w:compat/>
  <w:rsids>
    <w:rsidRoot w:val="00382B8E"/>
    <w:rsid w:val="00063021"/>
    <w:rsid w:val="000A330D"/>
    <w:rsid w:val="000D5D13"/>
    <w:rsid w:val="00166704"/>
    <w:rsid w:val="00180964"/>
    <w:rsid w:val="0020657B"/>
    <w:rsid w:val="00222BEA"/>
    <w:rsid w:val="0028416E"/>
    <w:rsid w:val="002876F2"/>
    <w:rsid w:val="002A2660"/>
    <w:rsid w:val="00382B8E"/>
    <w:rsid w:val="003C13F4"/>
    <w:rsid w:val="0047479E"/>
    <w:rsid w:val="00500D54"/>
    <w:rsid w:val="005E6545"/>
    <w:rsid w:val="006968BF"/>
    <w:rsid w:val="006B3485"/>
    <w:rsid w:val="006C753D"/>
    <w:rsid w:val="007803D3"/>
    <w:rsid w:val="00861510"/>
    <w:rsid w:val="00876A72"/>
    <w:rsid w:val="00897B20"/>
    <w:rsid w:val="008D4FAC"/>
    <w:rsid w:val="00902FC6"/>
    <w:rsid w:val="00913807"/>
    <w:rsid w:val="00A564D2"/>
    <w:rsid w:val="00B66F05"/>
    <w:rsid w:val="00B93049"/>
    <w:rsid w:val="00BD0B6A"/>
    <w:rsid w:val="00BD1CD4"/>
    <w:rsid w:val="00C50825"/>
    <w:rsid w:val="00D00CD3"/>
    <w:rsid w:val="00D60028"/>
    <w:rsid w:val="00E31BFF"/>
    <w:rsid w:val="00F360C5"/>
    <w:rsid w:val="00F71BA0"/>
    <w:rsid w:val="00FB52D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8E"/>
    <w:rPr>
      <w:rFonts w:eastAsia="Times New Roman"/>
      <w:sz w:val="24"/>
      <w:szCs w:val="24"/>
    </w:rPr>
  </w:style>
  <w:style w:type="paragraph" w:styleId="Rubrik1">
    <w:name w:val="heading 1"/>
    <w:basedOn w:val="Normal"/>
    <w:next w:val="Normal"/>
    <w:link w:val="Rubrik1Char"/>
    <w:qFormat/>
    <w:rsid w:val="00382B8E"/>
    <w:pPr>
      <w:keepNext/>
      <w:outlineLvl w:val="0"/>
    </w:pPr>
    <w:rPr>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82B8E"/>
    <w:rPr>
      <w:rFonts w:ascii="Times New Roman" w:eastAsia="Times New Roman" w:hAnsi="Times New Roman" w:cs="Times New Roman"/>
      <w:b/>
      <w:bCs/>
      <w:sz w:val="32"/>
      <w:szCs w:val="24"/>
      <w:lang w:eastAsia="sv-SE"/>
    </w:rPr>
  </w:style>
  <w:style w:type="paragraph" w:customStyle="1" w:styleId="SKLText">
    <w:name w:val="SKL Text"/>
    <w:basedOn w:val="Normal"/>
    <w:rsid w:val="00382B8E"/>
    <w:pPr>
      <w:widowControl w:val="0"/>
      <w:tabs>
        <w:tab w:val="left" w:pos="567"/>
      </w:tabs>
      <w:autoSpaceDE w:val="0"/>
      <w:autoSpaceDN w:val="0"/>
      <w:spacing w:after="120" w:line="300" w:lineRule="atLeast"/>
    </w:pPr>
    <w:rPr>
      <w:rFonts w:cs="Arial"/>
      <w:color w:val="000000"/>
    </w:rPr>
  </w:style>
  <w:style w:type="paragraph" w:styleId="Ballongtext">
    <w:name w:val="Balloon Text"/>
    <w:basedOn w:val="Normal"/>
    <w:link w:val="BallongtextChar"/>
    <w:uiPriority w:val="99"/>
    <w:semiHidden/>
    <w:unhideWhenUsed/>
    <w:rsid w:val="00D00CD3"/>
    <w:rPr>
      <w:rFonts w:ascii="Tahoma" w:hAnsi="Tahoma" w:cs="Tahoma"/>
      <w:sz w:val="16"/>
      <w:szCs w:val="16"/>
    </w:rPr>
  </w:style>
  <w:style w:type="character" w:customStyle="1" w:styleId="BallongtextChar">
    <w:name w:val="Ballongtext Char"/>
    <w:basedOn w:val="Standardstycketeckensnitt"/>
    <w:link w:val="Ballongtext"/>
    <w:uiPriority w:val="99"/>
    <w:semiHidden/>
    <w:rsid w:val="00D00CD3"/>
    <w:rPr>
      <w:rFonts w:ascii="Tahoma" w:eastAsia="Times New Roman" w:hAnsi="Tahoma" w:cs="Tahoma"/>
      <w:sz w:val="16"/>
      <w:szCs w:val="16"/>
    </w:rPr>
  </w:style>
  <w:style w:type="paragraph" w:styleId="Sidhuvud">
    <w:name w:val="header"/>
    <w:basedOn w:val="Normal"/>
    <w:link w:val="SidhuvudChar"/>
    <w:uiPriority w:val="99"/>
    <w:semiHidden/>
    <w:unhideWhenUsed/>
    <w:rsid w:val="00B66F05"/>
    <w:pPr>
      <w:tabs>
        <w:tab w:val="center" w:pos="4536"/>
        <w:tab w:val="right" w:pos="9072"/>
      </w:tabs>
    </w:pPr>
  </w:style>
  <w:style w:type="character" w:customStyle="1" w:styleId="SidhuvudChar">
    <w:name w:val="Sidhuvud Char"/>
    <w:basedOn w:val="Standardstycketeckensnitt"/>
    <w:link w:val="Sidhuvud"/>
    <w:uiPriority w:val="99"/>
    <w:semiHidden/>
    <w:rsid w:val="00B66F05"/>
    <w:rPr>
      <w:rFonts w:ascii="Times New Roman" w:eastAsia="Times New Roman" w:hAnsi="Times New Roman"/>
      <w:sz w:val="24"/>
      <w:szCs w:val="24"/>
    </w:rPr>
  </w:style>
  <w:style w:type="paragraph" w:styleId="Sidfot">
    <w:name w:val="footer"/>
    <w:basedOn w:val="Normal"/>
    <w:link w:val="SidfotChar"/>
    <w:uiPriority w:val="99"/>
    <w:semiHidden/>
    <w:unhideWhenUsed/>
    <w:rsid w:val="00B66F05"/>
    <w:pPr>
      <w:tabs>
        <w:tab w:val="center" w:pos="4536"/>
        <w:tab w:val="right" w:pos="9072"/>
      </w:tabs>
    </w:pPr>
  </w:style>
  <w:style w:type="character" w:customStyle="1" w:styleId="SidfotChar">
    <w:name w:val="Sidfot Char"/>
    <w:basedOn w:val="Standardstycketeckensnitt"/>
    <w:link w:val="Sidfot"/>
    <w:uiPriority w:val="99"/>
    <w:semiHidden/>
    <w:rsid w:val="00B66F0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BFD4-69D9-46D2-B802-3B9422E6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1266</Words>
  <Characters>6710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Strömberg</dc:creator>
  <cp:lastModifiedBy>Karin Bond</cp:lastModifiedBy>
  <cp:revision>3</cp:revision>
  <cp:lastPrinted>2010-04-15T21:09:00Z</cp:lastPrinted>
  <dcterms:created xsi:type="dcterms:W3CDTF">2010-04-15T20:13:00Z</dcterms:created>
  <dcterms:modified xsi:type="dcterms:W3CDTF">2010-04-18T13:15:00Z</dcterms:modified>
</cp:coreProperties>
</file>